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95" w:tblpY="486"/>
        <w:tblW w:w="10980" w:type="dxa"/>
        <w:tblLook w:val="04A0" w:firstRow="1" w:lastRow="0" w:firstColumn="1" w:lastColumn="0" w:noHBand="0" w:noVBand="1"/>
      </w:tblPr>
      <w:tblGrid>
        <w:gridCol w:w="572"/>
        <w:gridCol w:w="561"/>
        <w:gridCol w:w="2354"/>
        <w:gridCol w:w="7493"/>
      </w:tblGrid>
      <w:tr w:rsidR="0067438D" w:rsidRPr="0067438D" w:rsidTr="00501490">
        <w:tc>
          <w:tcPr>
            <w:tcW w:w="572" w:type="dxa"/>
            <w:shd w:val="clear" w:color="auto" w:fill="E2EFD9" w:themeFill="accent6" w:themeFillTint="33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2354" w:type="dxa"/>
            <w:shd w:val="clear" w:color="auto" w:fill="BDD6EE" w:themeFill="accent5" w:themeFillTint="66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493" w:type="dxa"/>
            <w:shd w:val="clear" w:color="auto" w:fill="BDD6EE" w:themeFill="accent5" w:themeFillTint="66"/>
          </w:tcPr>
          <w:p w:rsidR="0067438D" w:rsidRPr="009A2E69" w:rsidRDefault="0067438D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2E69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:rsidR="002B6E0B" w:rsidRPr="009A2E69" w:rsidRDefault="002B6E0B" w:rsidP="009A2E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438D" w:rsidRPr="0067438D" w:rsidTr="008E6280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Number</w:t>
            </w:r>
          </w:p>
        </w:tc>
        <w:tc>
          <w:tcPr>
            <w:tcW w:w="7493" w:type="dxa"/>
          </w:tcPr>
          <w:p w:rsid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the exact invoice number as shown in the vendor invoice</w:t>
            </w:r>
            <w:r w:rsidR="005E5C68">
              <w:rPr>
                <w:rFonts w:ascii="Arial" w:hAnsi="Arial" w:cs="Arial"/>
                <w:sz w:val="18"/>
                <w:szCs w:val="18"/>
              </w:rPr>
              <w:t xml:space="preserve"> (case sensitive)</w:t>
            </w:r>
            <w:r>
              <w:rPr>
                <w:rFonts w:ascii="Arial" w:hAnsi="Arial" w:cs="Arial"/>
                <w:sz w:val="18"/>
                <w:szCs w:val="18"/>
              </w:rPr>
              <w:t>.  No extra spaces or characters should be entered.</w:t>
            </w:r>
          </w:p>
          <w:p w:rsidR="002B6E0B" w:rsidRPr="0067438D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8E6280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Date</w:t>
            </w:r>
          </w:p>
        </w:tc>
        <w:tc>
          <w:tcPr>
            <w:tcW w:w="7493" w:type="dxa"/>
          </w:tcPr>
          <w:p w:rsid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the date of the invoice.</w:t>
            </w:r>
          </w:p>
          <w:p w:rsidR="002B6E0B" w:rsidRPr="0067438D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8E6280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 Receipt Date</w:t>
            </w:r>
          </w:p>
        </w:tc>
        <w:tc>
          <w:tcPr>
            <w:tcW w:w="7493" w:type="dxa"/>
          </w:tcPr>
          <w:p w:rsid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the date the invoice was received by UH (If stamped, use the earliest stamped date).</w:t>
            </w:r>
          </w:p>
          <w:p w:rsidR="002B6E0B" w:rsidRPr="0067438D" w:rsidRDefault="002B6E0B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38D" w:rsidRPr="0067438D" w:rsidTr="008E6280">
        <w:tc>
          <w:tcPr>
            <w:tcW w:w="572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67438D" w:rsidRPr="0067438D" w:rsidRDefault="0067438D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67438D" w:rsidRPr="00125A15" w:rsidRDefault="0067438D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Goods Receipt Date</w:t>
            </w:r>
          </w:p>
        </w:tc>
        <w:tc>
          <w:tcPr>
            <w:tcW w:w="7493" w:type="dxa"/>
          </w:tcPr>
          <w:p w:rsidR="00C85571" w:rsidRPr="008E6280" w:rsidRDefault="00C85571" w:rsidP="008E6280">
            <w:p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Contracts</w:t>
            </w:r>
          </w:p>
          <w:p w:rsidR="00C85571" w:rsidRPr="008E6280" w:rsidRDefault="00C85571" w:rsidP="008E628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Subscriptions – Enter the end of the term date.</w:t>
            </w:r>
          </w:p>
          <w:p w:rsidR="00C85571" w:rsidRPr="008E6280" w:rsidRDefault="00C85571" w:rsidP="008E628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Periodic billing (e.g., monthly phone billing) – Enter the end of the period date.</w:t>
            </w:r>
          </w:p>
          <w:p w:rsidR="00C85571" w:rsidRDefault="00C85571" w:rsidP="008E628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All other – Enter the service rendered date.</w:t>
            </w:r>
          </w:p>
          <w:p w:rsidR="008E6280" w:rsidRPr="008E6280" w:rsidRDefault="008E6280" w:rsidP="008E628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8E6280" w:rsidRDefault="00C85571" w:rsidP="008E6280">
            <w:p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Memberships/Subscriptions</w:t>
            </w:r>
          </w:p>
          <w:p w:rsidR="008E6280" w:rsidRDefault="00C85571" w:rsidP="008E628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Enter the end date of membership/subscription.</w:t>
            </w:r>
          </w:p>
          <w:p w:rsidR="008E6280" w:rsidRPr="008E6280" w:rsidRDefault="008E6280" w:rsidP="008E628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C85571" w:rsidRPr="008E6280" w:rsidRDefault="00C85571" w:rsidP="008E6280">
            <w:p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Non-contracted services</w:t>
            </w:r>
          </w:p>
          <w:p w:rsidR="00C85571" w:rsidRDefault="00C85571" w:rsidP="008E628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Enter the service rendered date.</w:t>
            </w:r>
          </w:p>
          <w:p w:rsidR="008E6280" w:rsidRPr="008E6280" w:rsidRDefault="008E6280" w:rsidP="008E628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C85571" w:rsidRPr="008E6280" w:rsidRDefault="00C85571" w:rsidP="008E6280">
            <w:p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Goods</w:t>
            </w:r>
          </w:p>
          <w:p w:rsidR="0067438D" w:rsidRPr="008E6280" w:rsidRDefault="00C85571" w:rsidP="008E628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Enter the date goods were received</w:t>
            </w:r>
            <w:r w:rsidR="0067438D" w:rsidRPr="008E628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B6E0B" w:rsidRPr="00C85571" w:rsidRDefault="002B6E0B" w:rsidP="002B6E0B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3511" w:rsidRPr="0067438D" w:rsidTr="008E6280">
        <w:tc>
          <w:tcPr>
            <w:tcW w:w="572" w:type="dxa"/>
            <w:shd w:val="clear" w:color="auto" w:fill="E2EFD9" w:themeFill="accent6" w:themeFillTint="33"/>
          </w:tcPr>
          <w:p w:rsidR="00953511" w:rsidRPr="0067438D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953511" w:rsidRPr="0067438D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953511" w:rsidRPr="00125A15" w:rsidRDefault="00953511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Purpose/Benefit</w:t>
            </w:r>
          </w:p>
        </w:tc>
        <w:tc>
          <w:tcPr>
            <w:tcW w:w="7493" w:type="dxa"/>
          </w:tcPr>
          <w:p w:rsidR="00953511" w:rsidRDefault="00953511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BOTH purpose and benefit of the payment in the voucher comment section.</w:t>
            </w:r>
          </w:p>
          <w:p w:rsidR="002B2506" w:rsidRDefault="002B2506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8E6280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271473" w:rsidRPr="00125A15" w:rsidRDefault="00271473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Remit to Address</w:t>
            </w:r>
          </w:p>
        </w:tc>
        <w:tc>
          <w:tcPr>
            <w:tcW w:w="7493" w:type="dxa"/>
          </w:tcPr>
          <w:p w:rsidR="004B2381" w:rsidRDefault="004B2381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Check Payments: </w:t>
            </w:r>
          </w:p>
          <w:p w:rsidR="00271473" w:rsidRPr="008E6280" w:rsidRDefault="008E6280" w:rsidP="008E628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B2381" w:rsidRPr="008E6280">
              <w:rPr>
                <w:rFonts w:ascii="Arial" w:hAnsi="Arial" w:cs="Arial"/>
                <w:sz w:val="18"/>
                <w:szCs w:val="18"/>
              </w:rPr>
              <w:t>n the voucher payment page, select the “remit to” address indicated in the invoice that matches with the “remit to” address in the system.</w:t>
            </w:r>
          </w:p>
          <w:p w:rsidR="004B2381" w:rsidRDefault="004B2381" w:rsidP="004B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ACH/Wire Payments:</w:t>
            </w:r>
          </w:p>
          <w:p w:rsidR="004B2381" w:rsidRPr="008E6280" w:rsidRDefault="008E6280" w:rsidP="008E628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B2381" w:rsidRPr="008E6280">
              <w:rPr>
                <w:rFonts w:ascii="Arial" w:hAnsi="Arial" w:cs="Arial"/>
                <w:sz w:val="18"/>
                <w:szCs w:val="18"/>
              </w:rPr>
              <w:t>n the voucher payment page, select an address in the invoice that matches one of the “remit to” address in the system.</w:t>
            </w:r>
          </w:p>
          <w:p w:rsidR="004B2381" w:rsidRPr="004B2381" w:rsidRDefault="004B2381" w:rsidP="004B23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not select </w:t>
            </w:r>
            <w:r w:rsidR="008E6280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“ordering” address.</w:t>
            </w:r>
          </w:p>
          <w:p w:rsidR="004B2381" w:rsidRDefault="004B2381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8E6280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271473" w:rsidRPr="00125A15" w:rsidRDefault="00271473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Cost Center</w:t>
            </w:r>
          </w:p>
        </w:tc>
        <w:tc>
          <w:tcPr>
            <w:tcW w:w="7493" w:type="dxa"/>
          </w:tcPr>
          <w:p w:rsidR="00271473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 Funds and Local Funds (non-state funds) cannot be </w:t>
            </w:r>
            <w:r w:rsidR="004406DC">
              <w:rPr>
                <w:rFonts w:ascii="Arial" w:hAnsi="Arial" w:cs="Arial"/>
                <w:sz w:val="18"/>
                <w:szCs w:val="18"/>
              </w:rPr>
              <w:t>used</w:t>
            </w:r>
            <w:r>
              <w:rPr>
                <w:rFonts w:ascii="Arial" w:hAnsi="Arial" w:cs="Arial"/>
                <w:sz w:val="18"/>
                <w:szCs w:val="18"/>
              </w:rPr>
              <w:t xml:space="preserve"> on the same voucher.</w:t>
            </w:r>
          </w:p>
          <w:p w:rsidR="002B2506" w:rsidRDefault="002B2506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E" w:rsidRPr="0067438D" w:rsidTr="008E6280">
        <w:tc>
          <w:tcPr>
            <w:tcW w:w="572" w:type="dxa"/>
            <w:shd w:val="clear" w:color="auto" w:fill="E2EFD9" w:themeFill="accent6" w:themeFillTint="33"/>
          </w:tcPr>
          <w:p w:rsidR="00016E2E" w:rsidRPr="0067438D" w:rsidRDefault="00016E2E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016E2E" w:rsidRPr="0067438D" w:rsidRDefault="00016E2E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016E2E" w:rsidRPr="00125A15" w:rsidRDefault="00016E2E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Sales Tax</w:t>
            </w:r>
          </w:p>
        </w:tc>
        <w:tc>
          <w:tcPr>
            <w:tcW w:w="7493" w:type="dxa"/>
          </w:tcPr>
          <w:p w:rsidR="00016E2E" w:rsidRDefault="00016E2E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 payment to the vendor</w:t>
            </w:r>
          </w:p>
          <w:p w:rsidR="00016E2E" w:rsidRPr="008E6280" w:rsidRDefault="00016E2E" w:rsidP="008E628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No Texas Sales Tax can be paid</w:t>
            </w:r>
            <w:r w:rsidR="002B6E0B" w:rsidRPr="008E628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B6E0B" w:rsidRPr="007423E3" w:rsidRDefault="002B6E0B" w:rsidP="007423E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473" w:rsidRPr="0067438D" w:rsidTr="008E6280">
        <w:tc>
          <w:tcPr>
            <w:tcW w:w="572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271473" w:rsidRPr="0067438D" w:rsidRDefault="00271473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271473" w:rsidRPr="00125A15" w:rsidRDefault="00271473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Voucher Total</w:t>
            </w:r>
          </w:p>
        </w:tc>
        <w:tc>
          <w:tcPr>
            <w:tcW w:w="7493" w:type="dxa"/>
          </w:tcPr>
          <w:p w:rsidR="00271473" w:rsidRDefault="00271473" w:rsidP="00E8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E85C8C">
              <w:rPr>
                <w:rFonts w:ascii="Arial" w:hAnsi="Arial" w:cs="Arial"/>
                <w:sz w:val="18"/>
                <w:szCs w:val="18"/>
              </w:rPr>
              <w:t xml:space="preserve">Enter the total voucher </w:t>
            </w:r>
            <w:r w:rsidR="002A43BB">
              <w:rPr>
                <w:rFonts w:ascii="Arial" w:hAnsi="Arial" w:cs="Arial"/>
                <w:sz w:val="18"/>
                <w:szCs w:val="18"/>
              </w:rPr>
              <w:t>a</w:t>
            </w:r>
            <w:r w:rsidRPr="00E85C8C">
              <w:rPr>
                <w:rFonts w:ascii="Arial" w:hAnsi="Arial" w:cs="Arial"/>
                <w:sz w:val="18"/>
                <w:szCs w:val="18"/>
              </w:rPr>
              <w:t>mount that match with the invoice amount.  For recurring services (e.g., AT&amp;T, T-Mobile, etc.) enter the monthly charge amount on the invoice.</w:t>
            </w:r>
          </w:p>
          <w:p w:rsidR="00862920" w:rsidRDefault="00862920" w:rsidP="0086292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E85C8C" w:rsidRDefault="00E85C8C" w:rsidP="00E85C8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general, state/local fund purchase of $15,000 or more requires a PO.  Federal fund purchase of $10,000 or more requires a PO.  There are some exceptions (see </w:t>
            </w:r>
            <w:hyperlink r:id="rId8" w:history="1">
              <w:r w:rsidRPr="00E85C8C">
                <w:rPr>
                  <w:rStyle w:val="Hyperlink"/>
                  <w:rFonts w:ascii="Arial" w:hAnsi="Arial" w:cs="Arial"/>
                  <w:sz w:val="18"/>
                  <w:szCs w:val="18"/>
                </w:rPr>
                <w:t>MAPP 04.01.03 Section VI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2B6E0B" w:rsidRPr="00E85C8C" w:rsidRDefault="002B6E0B" w:rsidP="002B6E0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Invoice</w:t>
            </w:r>
          </w:p>
          <w:p w:rsidR="00A529DA" w:rsidRPr="00125A15" w:rsidRDefault="00A529D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(Direct Vendor Payment)</w:t>
            </w:r>
          </w:p>
        </w:tc>
        <w:tc>
          <w:tcPr>
            <w:tcW w:w="7493" w:type="dxa"/>
          </w:tcPr>
          <w:p w:rsidR="00A529DA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Upload the merchant produced invoice that shows:</w:t>
            </w:r>
          </w:p>
          <w:p w:rsidR="00A529DA" w:rsidRPr="008E6280" w:rsidRDefault="00A529DA" w:rsidP="008E62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Relevant details for each item purchased and quantity</w:t>
            </w:r>
          </w:p>
          <w:p w:rsidR="008E6280" w:rsidRDefault="00A529DA" w:rsidP="008E62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8E6280">
              <w:rPr>
                <w:rFonts w:ascii="Arial" w:hAnsi="Arial" w:cs="Arial"/>
                <w:sz w:val="18"/>
                <w:szCs w:val="18"/>
              </w:rPr>
              <w:t>Amount and description for each item</w:t>
            </w:r>
          </w:p>
          <w:p w:rsidR="00A529DA" w:rsidRDefault="00A529DA" w:rsidP="008E628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Merchant name</w:t>
            </w:r>
            <w:r w:rsidR="00705D71">
              <w:rPr>
                <w:rFonts w:ascii="Arial" w:hAnsi="Arial" w:cs="Arial"/>
                <w:sz w:val="18"/>
                <w:szCs w:val="18"/>
              </w:rPr>
              <w:t xml:space="preserve"> (must agree with the vendor name on the voucher)</w:t>
            </w:r>
            <w:r>
              <w:rPr>
                <w:rFonts w:ascii="Arial" w:hAnsi="Arial" w:cs="Arial"/>
                <w:sz w:val="18"/>
                <w:szCs w:val="18"/>
              </w:rPr>
              <w:t xml:space="preserve">, address, total amount, </w:t>
            </w:r>
            <w:r w:rsidR="00705D71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>date of purchase</w:t>
            </w:r>
            <w:r w:rsidR="00705D7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E6280" w:rsidRPr="00246E1A" w:rsidRDefault="008E6280" w:rsidP="008E628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 xml:space="preserve">Contracts </w:t>
            </w:r>
          </w:p>
          <w:p w:rsidR="00A529DA" w:rsidRPr="00125A15" w:rsidRDefault="00A529D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– additional requirements</w:t>
            </w:r>
          </w:p>
        </w:tc>
        <w:tc>
          <w:tcPr>
            <w:tcW w:w="7493" w:type="dxa"/>
          </w:tcPr>
          <w:p w:rsidR="00A529DA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the following information:</w:t>
            </w:r>
          </w:p>
          <w:p w:rsidR="00A529DA" w:rsidRDefault="00A529DA" w:rsidP="00A756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contract amount.</w:t>
            </w:r>
          </w:p>
          <w:p w:rsidR="00A529DA" w:rsidRDefault="00A529DA" w:rsidP="00A756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Total payments to date </w:t>
            </w:r>
            <w:r w:rsidRPr="00A75652">
              <w:rPr>
                <w:rFonts w:ascii="Arial" w:hAnsi="Arial" w:cs="Arial"/>
                <w:sz w:val="18"/>
                <w:szCs w:val="18"/>
                <w:u w:val="single"/>
              </w:rPr>
              <w:t>including this voucher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529DA" w:rsidRDefault="00A529DA" w:rsidP="00A7565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remaining amount of the contract to be paid.</w:t>
            </w:r>
          </w:p>
          <w:p w:rsidR="00862920" w:rsidRDefault="00862920" w:rsidP="00862920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 vendor classification is “Individual Recipient/Student”, and the payment is for the services rendered, upload a completed Worker Classification Checklist for Determining Employee/Independent Contractor Status.</w:t>
            </w:r>
          </w:p>
          <w:p w:rsidR="008E6280" w:rsidRPr="00A529DA" w:rsidRDefault="008E6280" w:rsidP="008E628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Memberships/dues</w:t>
            </w:r>
          </w:p>
        </w:tc>
        <w:tc>
          <w:tcPr>
            <w:tcW w:w="7493" w:type="dxa"/>
          </w:tcPr>
          <w:p w:rsidR="00A529DA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invoice must show the beginning and ending dates of the membership.</w:t>
            </w:r>
          </w:p>
          <w:p w:rsidR="00A529DA" w:rsidRPr="007A074D" w:rsidRDefault="00A529DA" w:rsidP="007A07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7A074D">
              <w:rPr>
                <w:rFonts w:ascii="Arial" w:hAnsi="Arial" w:cs="Arial"/>
                <w:sz w:val="18"/>
                <w:szCs w:val="18"/>
              </w:rPr>
              <w:t xml:space="preserve">State Funds – must be listed on the approved list on the </w:t>
            </w:r>
            <w:hyperlink r:id="rId9" w:history="1">
              <w:r w:rsidRPr="007A074D">
                <w:rPr>
                  <w:rStyle w:val="Hyperlink"/>
                  <w:rFonts w:ascii="Arial" w:hAnsi="Arial" w:cs="Arial"/>
                  <w:sz w:val="18"/>
                  <w:szCs w:val="18"/>
                </w:rPr>
                <w:t>website</w:t>
              </w:r>
            </w:hyperlink>
            <w:r w:rsidRPr="007A074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529DA" w:rsidRPr="007A074D" w:rsidRDefault="00A529DA" w:rsidP="007A07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7A074D">
              <w:rPr>
                <w:rFonts w:ascii="Arial" w:hAnsi="Arial" w:cs="Arial"/>
                <w:sz w:val="18"/>
                <w:szCs w:val="18"/>
              </w:rPr>
              <w:t>Sponsored Project Funds – cannot be used to pay for memberships/dues.</w:t>
            </w:r>
          </w:p>
          <w:p w:rsidR="00A529DA" w:rsidRPr="00436260" w:rsidRDefault="00A529DA" w:rsidP="00A529DA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A756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Subscription Services</w:t>
            </w:r>
          </w:p>
        </w:tc>
        <w:tc>
          <w:tcPr>
            <w:tcW w:w="7493" w:type="dxa"/>
          </w:tcPr>
          <w:p w:rsidR="00A529DA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invoice must show the beginning and ending dates of the membership.</w:t>
            </w:r>
          </w:p>
          <w:p w:rsidR="00A529DA" w:rsidRPr="007A074D" w:rsidRDefault="00A529DA" w:rsidP="007A07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7A074D">
              <w:rPr>
                <w:rFonts w:ascii="Arial" w:hAnsi="Arial" w:cs="Arial"/>
                <w:sz w:val="18"/>
                <w:szCs w:val="18"/>
              </w:rPr>
              <w:t>State Funds – cannot be paid more than six weeks in advance of the beginning date.</w:t>
            </w:r>
          </w:p>
          <w:p w:rsidR="00A529DA" w:rsidRPr="007A074D" w:rsidRDefault="00A529DA" w:rsidP="007A074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7A074D">
              <w:rPr>
                <w:rFonts w:ascii="Arial" w:hAnsi="Arial" w:cs="Arial"/>
                <w:sz w:val="18"/>
                <w:szCs w:val="18"/>
              </w:rPr>
              <w:t>Sponsored Project Funds – subscription cannot extend beyond the award expiration date.</w:t>
            </w:r>
          </w:p>
          <w:p w:rsidR="00A529DA" w:rsidRPr="00436260" w:rsidRDefault="00A529DA" w:rsidP="00A529DA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5950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Business Meals /</w:t>
            </w:r>
          </w:p>
          <w:p w:rsidR="00A529DA" w:rsidRPr="00125A15" w:rsidRDefault="00A529D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Official Functions</w:t>
            </w:r>
          </w:p>
        </w:tc>
        <w:tc>
          <w:tcPr>
            <w:tcW w:w="7493" w:type="dxa"/>
          </w:tcPr>
          <w:p w:rsidR="00A529DA" w:rsidRDefault="00A529D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Funds only.</w:t>
            </w:r>
          </w:p>
          <w:p w:rsidR="00A529DA" w:rsidRDefault="00A529D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 to $100 per person, including beverages, tax, and gratuity (exception applies to Chancellor/President).</w:t>
            </w:r>
          </w:p>
          <w:p w:rsidR="00A529DA" w:rsidRDefault="00A529D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Gratuity up to 20% only (exception applies to Chancellor/President).</w:t>
            </w:r>
          </w:p>
          <w:p w:rsidR="00A529DA" w:rsidRDefault="00A529D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 include date and location.</w:t>
            </w:r>
          </w:p>
          <w:p w:rsidR="00A529DA" w:rsidRDefault="00A529D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of 10 or fewer people: Must include the participant names, titles, institutional affiliations/relation to the university.</w:t>
            </w:r>
          </w:p>
          <w:p w:rsidR="00A529DA" w:rsidRDefault="00A529D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of more than 10 people: Must include the name of the honored guest(s), the number of attendees, and the relationship of the guests to the university.</w:t>
            </w:r>
          </w:p>
          <w:p w:rsidR="00A529DA" w:rsidRPr="0059504F" w:rsidRDefault="00CD039E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Official Function</w:t>
            </w:r>
            <w:r w:rsidR="00F0255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A529DA" w:rsidRPr="0059504F">
              <w:rPr>
                <w:rFonts w:ascii="Arial" w:hAnsi="Arial" w:cs="Arial"/>
                <w:sz w:val="18"/>
                <w:szCs w:val="18"/>
              </w:rPr>
              <w:t>ust be approved by department chair, director, associate dean, dean, assistant/associate vice president, vice president, president, or chancellor.</w:t>
            </w:r>
          </w:p>
          <w:p w:rsidR="00A529DA" w:rsidRPr="0059504F" w:rsidRDefault="00CD039E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Official Function</w:t>
            </w:r>
            <w:r w:rsidR="00F0255C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must</w:t>
            </w:r>
            <w:r w:rsidR="00A529DA" w:rsidRPr="0059504F">
              <w:rPr>
                <w:rFonts w:ascii="Arial" w:hAnsi="Arial" w:cs="Arial"/>
                <w:sz w:val="18"/>
                <w:szCs w:val="18"/>
              </w:rPr>
              <w:t xml:space="preserve"> be approved by the authority higher than the highest ranking person hosting the event.</w:t>
            </w:r>
          </w:p>
          <w:p w:rsidR="00A529DA" w:rsidRPr="0059504F" w:rsidRDefault="00A529D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If attendees are university employees only, approval of the dean or director is required.</w:t>
            </w:r>
          </w:p>
          <w:p w:rsidR="00A529DA" w:rsidRPr="0059504F" w:rsidRDefault="00A529D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If the total cost exceeds $5,000, the Official Functions Approval Form is required.</w:t>
            </w:r>
          </w:p>
          <w:p w:rsidR="00A529DA" w:rsidRDefault="00A529DA" w:rsidP="0059504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9504F">
              <w:rPr>
                <w:rFonts w:ascii="Arial" w:hAnsi="Arial" w:cs="Arial"/>
                <w:sz w:val="18"/>
                <w:szCs w:val="18"/>
              </w:rPr>
              <w:t>Involvement of spouses in university official functions is not allowed unless there is a clear bona fide business purpose (contact the Tax Department).</w:t>
            </w:r>
          </w:p>
          <w:p w:rsidR="00FE2523" w:rsidRDefault="00FE2523" w:rsidP="00FE2523">
            <w:pPr>
              <w:pStyle w:val="Heading1"/>
              <w:shd w:val="clear" w:color="auto" w:fill="FFFFFF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Reference: </w:t>
            </w:r>
            <w:hyperlink r:id="rId10" w:history="1">
              <w:r w:rsidRPr="004D76C5">
                <w:rPr>
                  <w:rStyle w:val="Hyperlink"/>
                  <w:rFonts w:ascii="Arial" w:hAnsi="Arial" w:cs="Arial"/>
                  <w:sz w:val="18"/>
                  <w:szCs w:val="18"/>
                </w:rPr>
                <w:t>MAPP 05.02.02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 Official Functions and Discretionary Expenditures.</w:t>
            </w:r>
          </w:p>
          <w:p w:rsidR="008E6280" w:rsidRPr="008E6280" w:rsidRDefault="008E6280" w:rsidP="008E6280"/>
          <w:p w:rsidR="00A529DA" w:rsidRPr="006B4D74" w:rsidRDefault="00A529DA" w:rsidP="002B6E0B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Offset Printing Services</w:t>
            </w:r>
          </w:p>
        </w:tc>
        <w:tc>
          <w:tcPr>
            <w:tcW w:w="7493" w:type="dxa"/>
          </w:tcPr>
          <w:p w:rsidR="00A529DA" w:rsidRDefault="00A529DA" w:rsidP="00E85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 services are provided by the University Printing Department, a PO is not required regardless of the amount.  However, the payment will need to be processed via a SC voucher.</w:t>
            </w:r>
          </w:p>
          <w:p w:rsidR="00A529DA" w:rsidRPr="00016E2E" w:rsidRDefault="00A529DA" w:rsidP="002B6E0B">
            <w:pPr>
              <w:pStyle w:val="ListParagraph"/>
              <w:ind w:left="10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Advertisements/</w:t>
            </w:r>
          </w:p>
          <w:p w:rsidR="00A529DA" w:rsidRPr="00125A15" w:rsidRDefault="00A529D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Printed Items (UH logo, logotype, or trademark)</w:t>
            </w:r>
          </w:p>
        </w:tc>
        <w:tc>
          <w:tcPr>
            <w:tcW w:w="7493" w:type="dxa"/>
          </w:tcPr>
          <w:p w:rsidR="00A529DA" w:rsidRDefault="00A529DA" w:rsidP="00587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Upload the approval:</w:t>
            </w:r>
          </w:p>
          <w:p w:rsidR="00A529DA" w:rsidRDefault="00A529D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Employment Ads – Human Resources Department</w:t>
            </w:r>
          </w:p>
          <w:p w:rsidR="00A529DA" w:rsidRDefault="00A529D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Faculty Employment Ads – Office of Equal Opportunity Services (EOS)</w:t>
            </w:r>
          </w:p>
          <w:p w:rsidR="00A529DA" w:rsidRDefault="00A529DA" w:rsidP="002B6E0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Non-Employment Ads – Vice President of University Marketing and Communication (or designee)</w:t>
            </w:r>
          </w:p>
          <w:p w:rsidR="008E6280" w:rsidRPr="00A75652" w:rsidRDefault="008E6280" w:rsidP="002B6E0B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5950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Gift Cards / Certificate</w:t>
            </w:r>
          </w:p>
        </w:tc>
        <w:tc>
          <w:tcPr>
            <w:tcW w:w="7493" w:type="dxa"/>
          </w:tcPr>
          <w:p w:rsidR="00A529DA" w:rsidRDefault="00A529DA" w:rsidP="00E85C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Gift Card Request Form (DocuSign)</w:t>
            </w:r>
          </w:p>
          <w:p w:rsidR="00A529DA" w:rsidRPr="00E85C8C" w:rsidRDefault="00A529DA" w:rsidP="00E85C8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Flowers</w:t>
            </w:r>
          </w:p>
        </w:tc>
        <w:tc>
          <w:tcPr>
            <w:tcW w:w="7493" w:type="dxa"/>
          </w:tcPr>
          <w:p w:rsidR="00A529DA" w:rsidRDefault="00A529D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Flowers for centerpieces or decorations of the official function event only.</w:t>
            </w:r>
          </w:p>
          <w:p w:rsidR="00A529DA" w:rsidRDefault="00A529D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Flowers for university employees or family will not be paid from university funds.</w:t>
            </w:r>
          </w:p>
          <w:p w:rsidR="00A529DA" w:rsidRPr="00E85C8C" w:rsidRDefault="00A529DA" w:rsidP="00E85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6743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Alcohol Beverages</w:t>
            </w:r>
          </w:p>
        </w:tc>
        <w:tc>
          <w:tcPr>
            <w:tcW w:w="7493" w:type="dxa"/>
          </w:tcPr>
          <w:p w:rsidR="00A529DA" w:rsidRDefault="00A529D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Cannot be paid from state funds, funds under the control of the Athletics Department, indirect cost funds, and most of sponsored project funds.</w:t>
            </w:r>
          </w:p>
          <w:p w:rsidR="00A529DA" w:rsidRDefault="00A529D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Must be itemized.</w:t>
            </w:r>
          </w:p>
          <w:p w:rsidR="00A529DA" w:rsidRDefault="00A529DA" w:rsidP="0058716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account code 53113.</w:t>
            </w:r>
          </w:p>
          <w:p w:rsidR="00A529DA" w:rsidRPr="002B6E0B" w:rsidRDefault="00A529DA" w:rsidP="00A529DA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Advance Payment</w:t>
            </w:r>
          </w:p>
        </w:tc>
        <w:tc>
          <w:tcPr>
            <w:tcW w:w="7493" w:type="dxa"/>
          </w:tcPr>
          <w:p w:rsidR="00A529DA" w:rsidRPr="00246E1A" w:rsidRDefault="00A529D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46E1A">
              <w:rPr>
                <w:rFonts w:ascii="Arial" w:hAnsi="Arial" w:cs="Arial"/>
                <w:sz w:val="18"/>
                <w:szCs w:val="18"/>
              </w:rPr>
              <w:t xml:space="preserve">Must meet one or more of the criteria listed in </w:t>
            </w:r>
            <w:hyperlink r:id="rId11" w:history="1">
              <w:r w:rsidRPr="00246E1A">
                <w:rPr>
                  <w:rStyle w:val="Hyperlink"/>
                  <w:rFonts w:ascii="Arial" w:hAnsi="Arial" w:cs="Arial"/>
                  <w:sz w:val="18"/>
                  <w:szCs w:val="18"/>
                </w:rPr>
                <w:t>MAPP 04.01.05 Section IV</w:t>
              </w:r>
            </w:hyperlink>
            <w:r w:rsidRPr="00246E1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529DA" w:rsidRPr="00246E1A" w:rsidRDefault="00A529D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46E1A">
              <w:rPr>
                <w:rFonts w:ascii="Arial" w:hAnsi="Arial" w:cs="Arial"/>
                <w:sz w:val="18"/>
                <w:szCs w:val="18"/>
              </w:rPr>
              <w:t>Must attach on of the following to the voucher: Pro Forma Invoice, order form noting that advance payment is required, or a letter from the vendor explaining that advance payment is required.</w:t>
            </w:r>
          </w:p>
          <w:p w:rsidR="00A529DA" w:rsidRPr="00246E1A" w:rsidRDefault="00A529D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46E1A">
              <w:rPr>
                <w:rFonts w:ascii="Arial" w:hAnsi="Arial" w:cs="Arial"/>
                <w:sz w:val="18"/>
                <w:szCs w:val="18"/>
              </w:rPr>
              <w:t xml:space="preserve">If the advance payment is for the expense in the next fiscal year, use account </w:t>
            </w:r>
            <w:r w:rsidR="00071A2B">
              <w:rPr>
                <w:rFonts w:ascii="Arial" w:hAnsi="Arial" w:cs="Arial"/>
                <w:sz w:val="18"/>
                <w:szCs w:val="18"/>
              </w:rPr>
              <w:t>15100</w:t>
            </w:r>
            <w:r w:rsidRPr="00246E1A">
              <w:rPr>
                <w:rFonts w:ascii="Arial" w:hAnsi="Arial" w:cs="Arial"/>
                <w:sz w:val="18"/>
                <w:szCs w:val="18"/>
              </w:rPr>
              <w:t>.  The department is responsible for moving the advance payment to expense and for releasing the encumbrance if applicable.</w:t>
            </w:r>
          </w:p>
          <w:p w:rsidR="00A529DA" w:rsidRDefault="00A529DA" w:rsidP="00E85C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Refusing Late Interest Charge</w:t>
            </w:r>
          </w:p>
        </w:tc>
        <w:tc>
          <w:tcPr>
            <w:tcW w:w="7493" w:type="dxa"/>
          </w:tcPr>
          <w:p w:rsidR="00A529DA" w:rsidRDefault="00A529DA" w:rsidP="00EF3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See the Payment Reason Codes in </w:t>
            </w:r>
            <w:hyperlink r:id="rId12" w:history="1">
              <w:r w:rsidRPr="00EF3D3F">
                <w:rPr>
                  <w:rStyle w:val="Hyperlink"/>
                  <w:rFonts w:ascii="Arial" w:hAnsi="Arial" w:cs="Arial"/>
                  <w:sz w:val="18"/>
                  <w:szCs w:val="18"/>
                </w:rPr>
                <w:t>MAPP 04.01.10 Section VIII. G. 2.</w:t>
              </w:r>
            </w:hyperlink>
          </w:p>
          <w:p w:rsidR="00A529DA" w:rsidRDefault="00A529DA" w:rsidP="00EF3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the Payment reason Codes do not apply, do not refuse late interest charges.</w:t>
            </w:r>
          </w:p>
          <w:p w:rsidR="00A529DA" w:rsidRDefault="00A529DA" w:rsidP="005144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Enter the Payment Reason Code in the voucher payment page (click on “Late Charge”).</w:t>
            </w:r>
          </w:p>
          <w:p w:rsidR="008E6280" w:rsidRPr="0051444B" w:rsidRDefault="008E6280" w:rsidP="005144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29DA" w:rsidRPr="0067438D" w:rsidTr="008E6280">
        <w:tc>
          <w:tcPr>
            <w:tcW w:w="572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E2EFD9" w:themeFill="accent6" w:themeFillTint="33"/>
          </w:tcPr>
          <w:p w:rsidR="00A529DA" w:rsidRPr="0067438D" w:rsidRDefault="00A529DA" w:rsidP="006743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A529DA" w:rsidRPr="00125A15" w:rsidRDefault="00A529DA" w:rsidP="0058716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5A15">
              <w:rPr>
                <w:rFonts w:ascii="Arial" w:hAnsi="Arial" w:cs="Arial"/>
                <w:b/>
                <w:sz w:val="18"/>
                <w:szCs w:val="18"/>
              </w:rPr>
              <w:t>Foreign Wire Payments</w:t>
            </w:r>
          </w:p>
        </w:tc>
        <w:tc>
          <w:tcPr>
            <w:tcW w:w="7493" w:type="dxa"/>
          </w:tcPr>
          <w:p w:rsidR="00A529DA" w:rsidRDefault="00A529D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 Funds Only</w:t>
            </w:r>
          </w:p>
          <w:p w:rsidR="00A529DA" w:rsidRDefault="00A529D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Select special handling code “SH”</w:t>
            </w:r>
          </w:p>
          <w:p w:rsidR="00A529DA" w:rsidRDefault="00A529D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Attach the wire instruction (bank information) to the voucher</w:t>
            </w:r>
          </w:p>
          <w:p w:rsidR="00A529DA" w:rsidRPr="00246E1A" w:rsidRDefault="00A529D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46E1A">
              <w:rPr>
                <w:rFonts w:ascii="Arial" w:hAnsi="Arial" w:cs="Arial"/>
                <w:sz w:val="18"/>
                <w:szCs w:val="18"/>
              </w:rPr>
              <w:t xml:space="preserve">Indicate in the payment comment section whether the wire payment will be in US Dollar or the specific foreign currency. </w:t>
            </w:r>
          </w:p>
          <w:p w:rsidR="00A529DA" w:rsidRPr="00246E1A" w:rsidRDefault="00A529DA" w:rsidP="00246E1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246E1A">
              <w:rPr>
                <w:rFonts w:ascii="Arial" w:hAnsi="Arial" w:cs="Arial"/>
                <w:sz w:val="18"/>
                <w:szCs w:val="18"/>
              </w:rPr>
              <w:t>If US Dollar, indicate the amount on the voucher and submit it to AP.</w:t>
            </w:r>
          </w:p>
          <w:p w:rsidR="00A529DA" w:rsidRPr="00587160" w:rsidRDefault="00A529DA" w:rsidP="002B250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46E1A">
              <w:rPr>
                <w:rFonts w:ascii="Arial" w:hAnsi="Arial" w:cs="Arial"/>
                <w:sz w:val="18"/>
                <w:szCs w:val="18"/>
              </w:rPr>
              <w:t>If foreign currency, indicate $0 on the voucher and submit it to AP.</w:t>
            </w:r>
          </w:p>
        </w:tc>
      </w:tr>
    </w:tbl>
    <w:p w:rsidR="00FB2DF9" w:rsidRPr="0067438D" w:rsidRDefault="006122D2" w:rsidP="009662BA">
      <w:pPr>
        <w:rPr>
          <w:rFonts w:ascii="Arial" w:hAnsi="Arial" w:cs="Arial"/>
          <w:sz w:val="18"/>
          <w:szCs w:val="18"/>
        </w:rPr>
      </w:pPr>
    </w:p>
    <w:sectPr w:rsidR="00FB2DF9" w:rsidRPr="0067438D" w:rsidSect="004B2381">
      <w:headerReference w:type="default" r:id="rId13"/>
      <w:footerReference w:type="default" r:id="rId14"/>
      <w:pgSz w:w="12240" w:h="15840"/>
      <w:pgMar w:top="129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2D2" w:rsidRDefault="006122D2" w:rsidP="006B4D74">
      <w:pPr>
        <w:spacing w:after="0" w:line="240" w:lineRule="auto"/>
      </w:pPr>
      <w:r>
        <w:separator/>
      </w:r>
    </w:p>
  </w:endnote>
  <w:endnote w:type="continuationSeparator" w:id="0">
    <w:p w:rsidR="006122D2" w:rsidRDefault="006122D2" w:rsidP="006B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74" w:rsidRDefault="00C9006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06C" w:rsidRDefault="00C9006C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sdt>
                              <w:sdtPr>
                                <w:rPr>
                                  <w:b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SY  1</w:t>
                                </w:r>
                                <w:r w:rsidR="009100E6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="009100E6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501490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/</w:t>
                                </w:r>
                                <w:r w:rsid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24 AP</w:t>
                                </w:r>
                                <w:r w:rsidR="003F7941" w:rsidRPr="003F7941">
                                  <w:rPr>
                                    <w:b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Checklist&gt;Checklist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7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C9006C" w:rsidRDefault="00C9006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sdt>
                        <w:sdtPr>
                          <w:rPr>
                            <w:b/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SY  1</w:t>
                          </w:r>
                          <w:r w:rsidR="009100E6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9100E6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501490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>24 AP</w:t>
                          </w:r>
                          <w:r w:rsidR="003F7941" w:rsidRPr="003F7941">
                            <w:rPr>
                              <w:b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Checklist&gt;Checklist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2D2" w:rsidRDefault="006122D2" w:rsidP="006B4D74">
      <w:pPr>
        <w:spacing w:after="0" w:line="240" w:lineRule="auto"/>
      </w:pPr>
      <w:r>
        <w:separator/>
      </w:r>
    </w:p>
  </w:footnote>
  <w:footnote w:type="continuationSeparator" w:id="0">
    <w:p w:rsidR="006122D2" w:rsidRDefault="006122D2" w:rsidP="006B4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D74" w:rsidRDefault="006B4D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B4D74" w:rsidRDefault="006B4D7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Voucher Checklist (</w:t>
                              </w:r>
                              <w:r w:rsidR="00C1595F">
                                <w:rPr>
                                  <w:caps/>
                                  <w:color w:val="FFFFFF" w:themeColor="background1"/>
                                </w:rPr>
                                <w:t>PO Voucher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B4D74" w:rsidRDefault="006B4D7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Voucher Checklist (</w:t>
                        </w:r>
                        <w:r w:rsidR="00C1595F">
                          <w:rPr>
                            <w:caps/>
                            <w:color w:val="FFFFFF" w:themeColor="background1"/>
                          </w:rPr>
                          <w:t>PO Voucher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D1F"/>
    <w:multiLevelType w:val="hybridMultilevel"/>
    <w:tmpl w:val="40D8FB22"/>
    <w:lvl w:ilvl="0" w:tplc="1A0CA69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529ED"/>
    <w:multiLevelType w:val="hybridMultilevel"/>
    <w:tmpl w:val="B0A2BB42"/>
    <w:lvl w:ilvl="0" w:tplc="396EA4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6895"/>
    <w:multiLevelType w:val="hybridMultilevel"/>
    <w:tmpl w:val="C42AF1BA"/>
    <w:lvl w:ilvl="0" w:tplc="7F2E69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0FC3"/>
    <w:multiLevelType w:val="hybridMultilevel"/>
    <w:tmpl w:val="8B68BDDE"/>
    <w:lvl w:ilvl="0" w:tplc="179E8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35B07"/>
    <w:multiLevelType w:val="hybridMultilevel"/>
    <w:tmpl w:val="A190BC7C"/>
    <w:lvl w:ilvl="0" w:tplc="7CC4E8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4667C"/>
    <w:multiLevelType w:val="hybridMultilevel"/>
    <w:tmpl w:val="D9841610"/>
    <w:lvl w:ilvl="0" w:tplc="E1D401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06876"/>
    <w:multiLevelType w:val="hybridMultilevel"/>
    <w:tmpl w:val="A8347580"/>
    <w:lvl w:ilvl="0" w:tplc="5D6441E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8812BE"/>
    <w:multiLevelType w:val="hybridMultilevel"/>
    <w:tmpl w:val="E9BC8CDC"/>
    <w:lvl w:ilvl="0" w:tplc="FED499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93A7C"/>
    <w:multiLevelType w:val="hybridMultilevel"/>
    <w:tmpl w:val="299E0982"/>
    <w:lvl w:ilvl="0" w:tplc="562A14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17A1F"/>
    <w:multiLevelType w:val="hybridMultilevel"/>
    <w:tmpl w:val="A5F2B582"/>
    <w:lvl w:ilvl="0" w:tplc="9C6C68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BA"/>
    <w:rsid w:val="00016E2E"/>
    <w:rsid w:val="00033341"/>
    <w:rsid w:val="00071A2B"/>
    <w:rsid w:val="00125A15"/>
    <w:rsid w:val="001C00D7"/>
    <w:rsid w:val="0022484C"/>
    <w:rsid w:val="00246E1A"/>
    <w:rsid w:val="00271473"/>
    <w:rsid w:val="002A43BB"/>
    <w:rsid w:val="002B2506"/>
    <w:rsid w:val="002B6E0B"/>
    <w:rsid w:val="00346FE4"/>
    <w:rsid w:val="00347937"/>
    <w:rsid w:val="003C425D"/>
    <w:rsid w:val="003F7941"/>
    <w:rsid w:val="00436260"/>
    <w:rsid w:val="004406DC"/>
    <w:rsid w:val="004876E7"/>
    <w:rsid w:val="004B2322"/>
    <w:rsid w:val="004B2381"/>
    <w:rsid w:val="00501490"/>
    <w:rsid w:val="0051444B"/>
    <w:rsid w:val="00587160"/>
    <w:rsid w:val="0059504F"/>
    <w:rsid w:val="005E5C68"/>
    <w:rsid w:val="006122D2"/>
    <w:rsid w:val="0067438D"/>
    <w:rsid w:val="006B1388"/>
    <w:rsid w:val="006B4D74"/>
    <w:rsid w:val="00705D71"/>
    <w:rsid w:val="00730A2C"/>
    <w:rsid w:val="007423E3"/>
    <w:rsid w:val="007A074D"/>
    <w:rsid w:val="007F65CF"/>
    <w:rsid w:val="00862920"/>
    <w:rsid w:val="00897C22"/>
    <w:rsid w:val="008E40B1"/>
    <w:rsid w:val="008E6280"/>
    <w:rsid w:val="009100E6"/>
    <w:rsid w:val="00953511"/>
    <w:rsid w:val="009662BA"/>
    <w:rsid w:val="009A2E69"/>
    <w:rsid w:val="00A529DA"/>
    <w:rsid w:val="00A55B59"/>
    <w:rsid w:val="00A75652"/>
    <w:rsid w:val="00AB55DB"/>
    <w:rsid w:val="00AD4B11"/>
    <w:rsid w:val="00C1595F"/>
    <w:rsid w:val="00C85571"/>
    <w:rsid w:val="00C9006C"/>
    <w:rsid w:val="00C93645"/>
    <w:rsid w:val="00CC0F40"/>
    <w:rsid w:val="00CC2BDB"/>
    <w:rsid w:val="00CD039E"/>
    <w:rsid w:val="00CD3C2D"/>
    <w:rsid w:val="00D05E06"/>
    <w:rsid w:val="00DA38C4"/>
    <w:rsid w:val="00DB4C40"/>
    <w:rsid w:val="00E05BDD"/>
    <w:rsid w:val="00E85C8C"/>
    <w:rsid w:val="00EB6385"/>
    <w:rsid w:val="00EF3D3F"/>
    <w:rsid w:val="00F0255C"/>
    <w:rsid w:val="00FB3015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7457E"/>
  <w15:chartTrackingRefBased/>
  <w15:docId w15:val="{D65E65BE-00D3-4302-9758-8454E8B3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5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5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0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0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4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D74"/>
  </w:style>
  <w:style w:type="paragraph" w:styleId="Footer">
    <w:name w:val="footer"/>
    <w:basedOn w:val="Normal"/>
    <w:link w:val="FooterChar"/>
    <w:uiPriority w:val="99"/>
    <w:unhideWhenUsed/>
    <w:rsid w:val="006B4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D74"/>
  </w:style>
  <w:style w:type="paragraph" w:styleId="BalloonText">
    <w:name w:val="Balloon Text"/>
    <w:basedOn w:val="Normal"/>
    <w:link w:val="BalloonTextChar"/>
    <w:uiPriority w:val="99"/>
    <w:semiHidden/>
    <w:unhideWhenUsed/>
    <w:rsid w:val="00DB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C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4C4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.edu/policies/mapps/04-procurement/040103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h.edu/policies/mapps/04-procurement/04011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h.edu/policies/mapps/04-procurement/04010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h.edu/policies/mapps/05-finance-and-accounting/0502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h.edu/finance/Doc_Ref/General_Ref/ProfOrgMemb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9C688-88FC-41A9-8AC4-B7C56551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Voucher Checklist (standard)</vt:lpstr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Voucher Checklist (PO Voucher)</dc:title>
  <dc:subject>SY  12/12/24 AP Checklist&gt;Checklist</dc:subject>
  <dc:creator>Yurus, Sakurako H</dc:creator>
  <cp:keywords/>
  <dc:description/>
  <cp:lastModifiedBy>Yurus, Sakurako H</cp:lastModifiedBy>
  <cp:revision>18</cp:revision>
  <cp:lastPrinted>2024-11-19T13:44:00Z</cp:lastPrinted>
  <dcterms:created xsi:type="dcterms:W3CDTF">2024-11-20T20:24:00Z</dcterms:created>
  <dcterms:modified xsi:type="dcterms:W3CDTF">2024-12-16T14:04:00Z</dcterms:modified>
</cp:coreProperties>
</file>